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B3" w:rsidRPr="008E2758" w:rsidRDefault="00B245B3" w:rsidP="00B245B3">
      <w:pPr>
        <w:spacing w:after="0"/>
        <w:ind w:left="424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758">
        <w:rPr>
          <w:rFonts w:ascii="Times New Roman" w:eastAsia="Times New Roman" w:hAnsi="Times New Roman"/>
          <w:sz w:val="24"/>
          <w:szCs w:val="24"/>
          <w:lang w:eastAsia="ru-RU"/>
        </w:rPr>
        <w:t>Приложение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245B3" w:rsidRPr="008E2758" w:rsidRDefault="00B245B3" w:rsidP="00B245B3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 приказу директора МУ КДК</w:t>
      </w:r>
    </w:p>
    <w:p w:rsidR="00B245B3" w:rsidRPr="008E2758" w:rsidRDefault="00B245B3" w:rsidP="00B245B3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800100" cy="342900"/>
                <wp:effectExtent l="0" t="317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45B3" w:rsidRDefault="00B245B3" w:rsidP="00B245B3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2pt;margin-top:8.4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Z0vgIAALg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" filled="f" stroked="f">
                <v:textbox>
                  <w:txbxContent>
                    <w:p w:rsidR="00B245B3" w:rsidRDefault="00B245B3" w:rsidP="00B245B3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Широковского сельского поселения</w:t>
      </w:r>
    </w:p>
    <w:p w:rsidR="00B245B3" w:rsidRPr="008E2758" w:rsidRDefault="00B245B3" w:rsidP="00B245B3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E27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08.06.2023 г. № 21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</w:t>
      </w:r>
      <w:proofErr w:type="gramEnd"/>
    </w:p>
    <w:p w:rsidR="00B245B3" w:rsidRPr="008E2758" w:rsidRDefault="00B245B3" w:rsidP="00B245B3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B245B3" w:rsidRDefault="00B245B3" w:rsidP="00B2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245B3" w:rsidRPr="00E2118B" w:rsidRDefault="00B245B3" w:rsidP="00B2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9"/>
      <w:bookmarkEnd w:id="0"/>
      <w:r w:rsidRPr="00E2118B">
        <w:rPr>
          <w:rFonts w:ascii="Times New Roman" w:hAnsi="Times New Roman" w:cs="Times New Roman"/>
          <w:sz w:val="28"/>
          <w:szCs w:val="28"/>
        </w:rPr>
        <w:t xml:space="preserve"> ПЛАН ПРОТИВОДЕЙСТВИЯ КОРРУПЦИИ</w:t>
      </w:r>
    </w:p>
    <w:p w:rsidR="00B245B3" w:rsidRPr="00E2118B" w:rsidRDefault="00B245B3" w:rsidP="00B2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учреждения</w:t>
      </w:r>
    </w:p>
    <w:p w:rsidR="00B245B3" w:rsidRPr="00B245B3" w:rsidRDefault="00B245B3" w:rsidP="00B245B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245B3">
        <w:rPr>
          <w:rFonts w:ascii="Times New Roman" w:hAnsi="Times New Roman" w:cs="Times New Roman"/>
          <w:sz w:val="28"/>
          <w:szCs w:val="28"/>
        </w:rPr>
        <w:t>ультурно-досуговый комплекс Широковского сельского поселения</w:t>
      </w:r>
    </w:p>
    <w:p w:rsidR="00B245B3" w:rsidRPr="001E2C36" w:rsidRDefault="00B245B3" w:rsidP="00B245B3">
      <w:pPr>
        <w:pStyle w:val="ConsPlusNormal"/>
        <w:jc w:val="center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(наименование муниципального учреждения)</w:t>
      </w:r>
    </w:p>
    <w:p w:rsidR="00B245B3" w:rsidRPr="00E2118B" w:rsidRDefault="00B245B3" w:rsidP="00B245B3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</w:t>
      </w:r>
      <w:r w:rsidRPr="00E2118B">
        <w:rPr>
          <w:rFonts w:ascii="Times New Roman" w:hAnsi="Times New Roman" w:cs="Times New Roman"/>
          <w:sz w:val="28"/>
        </w:rPr>
        <w:t xml:space="preserve"> год</w:t>
      </w:r>
    </w:p>
    <w:tbl>
      <w:tblPr>
        <w:tblpPr w:leftFromText="180" w:rightFromText="180" w:vertAnchor="text" w:horzAnchor="margin" w:tblpXSpec="center" w:tblpY="153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94"/>
        <w:gridCol w:w="2126"/>
        <w:gridCol w:w="2127"/>
      </w:tblGrid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5A0A58">
              <w:rPr>
                <w:rFonts w:ascii="Times New Roman" w:hAnsi="Times New Roman" w:cs="Times New Roman"/>
              </w:rPr>
              <w:t>п</w:t>
            </w:r>
            <w:proofErr w:type="gramEnd"/>
            <w:r w:rsidRPr="005A0A5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2127" w:type="dxa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4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447" w:type="dxa"/>
            <w:gridSpan w:val="3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Создание и внедрение организационно-правовых основ противодействия коррупции в деятельность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Определение лиц, ответственных за работу по профилактике коррупционных правонарушений в Учреждении, в случае их отсутствия</w:t>
            </w:r>
          </w:p>
        </w:tc>
        <w:tc>
          <w:tcPr>
            <w:tcW w:w="2126" w:type="dxa"/>
          </w:tcPr>
          <w:p w:rsidR="007149BC" w:rsidRPr="005A0A58" w:rsidRDefault="00022928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26.06.2023 г.</w:t>
            </w:r>
            <w:bookmarkStart w:id="1" w:name="_GoBack"/>
            <w:bookmarkEnd w:id="1"/>
          </w:p>
        </w:tc>
        <w:tc>
          <w:tcPr>
            <w:tcW w:w="2127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Разработка и принятие локальных правовых актов, регулирующих вопросы предупреждения и противодействия коррупции в Учреждении, в случае их отсутствия &lt;1&gt;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26.06.2023 г.</w:t>
            </w:r>
            <w:r w:rsidRPr="005A0A58">
              <w:rPr>
                <w:rFonts w:ascii="Times New Roman" w:hAnsi="Times New Roman" w:cs="Times New Roman"/>
              </w:rPr>
              <w:t xml:space="preserve"> &lt;*&gt;</w:t>
            </w:r>
          </w:p>
        </w:tc>
        <w:tc>
          <w:tcPr>
            <w:tcW w:w="2127" w:type="dxa"/>
            <w:vMerge w:val="restart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Введение антикоррупционных положений в трудовые договоры и должностные инструкции вновь трудоустроенных работников Учреждения &lt;2&gt;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по мере необходимости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Осуществление взаимодействия с правоохранительными органами по фактам проявления коррупции &lt;3&gt;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5A0A58">
              <w:rPr>
                <w:rFonts w:ascii="Times New Roman" w:hAnsi="Times New Roman" w:cs="Times New Roman"/>
              </w:rPr>
              <w:t xml:space="preserve">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Представление руководителем Учреждения сведений о своих доходах, об имуществе и обязательствах имущественного характера, а также о доходах,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5A0A58">
              <w:rPr>
                <w:rFonts w:ascii="Times New Roman" w:hAnsi="Times New Roman" w:cs="Times New Roman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При назначении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Pr="005A0A58">
              <w:rPr>
                <w:rFonts w:ascii="Times New Roman" w:hAnsi="Times New Roman" w:cs="Times New Roman"/>
              </w:rPr>
              <w:t xml:space="preserve">на должность, ежегодно до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5A0A58">
              <w:rPr>
                <w:rFonts w:ascii="Times New Roman" w:hAnsi="Times New Roman" w:cs="Times New Roman"/>
              </w:rPr>
              <w:t>30 апреля текущего года</w:t>
            </w:r>
          </w:p>
        </w:tc>
        <w:tc>
          <w:tcPr>
            <w:tcW w:w="2127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Pr="005A0A58">
              <w:rPr>
                <w:rFonts w:ascii="Times New Roman" w:hAnsi="Times New Roman" w:cs="Times New Roman"/>
              </w:rPr>
              <w:t xml:space="preserve">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Проведение оценки коррупционных рисков в целях выявления видов деятельности Учреждения и д</w:t>
            </w:r>
            <w:r>
              <w:rPr>
                <w:rFonts w:ascii="Times New Roman" w:hAnsi="Times New Roman" w:cs="Times New Roman"/>
              </w:rPr>
              <w:t>олжностей, наиболее подверженных</w:t>
            </w:r>
            <w:r w:rsidRPr="005A0A58">
              <w:rPr>
                <w:rFonts w:ascii="Times New Roman" w:hAnsi="Times New Roman" w:cs="Times New Roman"/>
              </w:rPr>
              <w:t xml:space="preserve"> таким рискам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 мере необходимости</w:t>
            </w:r>
          </w:p>
        </w:tc>
        <w:tc>
          <w:tcPr>
            <w:tcW w:w="2127" w:type="dxa"/>
            <w:vMerge w:val="restart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Разработка предложений по минимизации или устранению коррупционных рисков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5194" w:type="dxa"/>
          </w:tcPr>
          <w:p w:rsidR="007149BC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Мониторинг действующего законодательства Российской Федерации в сфере противодействия коррупции на предмет его изменения</w:t>
            </w:r>
          </w:p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vMerge w:val="restart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lastRenderedPageBreak/>
              <w:t>1.9.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Анализ и оценка эффективности принимаемых в Учреждении мер по противодействию коррупции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 в полугодие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Разработка предложений, подлежащих учету при подготовке плана противодействия коррупции в Учреждении на очередной календарный год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1.11.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Проведение оценки результатов работы, подготовка и распространение отчетных материалов о проведенной работе и достигнутых результатах в сфере противодействия коррупции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Ежегодно к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5A0A58">
              <w:rPr>
                <w:rFonts w:ascii="Times New Roman" w:hAnsi="Times New Roman" w:cs="Times New Roman"/>
              </w:rPr>
              <w:t>1 декабря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447" w:type="dxa"/>
            <w:gridSpan w:val="3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Мероприятия, направленные на антикоррупционное обучение и информирование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5A0A58">
              <w:rPr>
                <w:rFonts w:ascii="Times New Roman" w:hAnsi="Times New Roman" w:cs="Times New Roman"/>
              </w:rPr>
              <w:t>работников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Ознакомление работников с нормативными документами, регламентирующими вопросы противодействия коррупции в Учреждении, с одновременным разъяснением положений указанных документов &lt;4&gt;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 </w:t>
            </w:r>
            <w:r w:rsidRPr="005A0A58">
              <w:rPr>
                <w:rFonts w:ascii="Times New Roman" w:hAnsi="Times New Roman" w:cs="Times New Roman"/>
              </w:rPr>
              <w:t>дней со дня принятия акта в сфере противодействия коррупции/при приеме на работу</w:t>
            </w:r>
          </w:p>
        </w:tc>
        <w:tc>
          <w:tcPr>
            <w:tcW w:w="2127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A0A58">
              <w:rPr>
                <w:rFonts w:ascii="Times New Roman" w:hAnsi="Times New Roman" w:cs="Times New Roman"/>
              </w:rPr>
              <w:t>Проведение обучающих мероприятий по вопросам профилактики и противодействия коррупции: семинаров, совещаний, бесед (в частности, информирование работников об уголовной ответственности за получение и дачу взятки, ознакомление работников Учреждения с памятками по противодействию коррупции, разъяснение требований о предотвращении или об урегулировании конфликта интересов, обязанности об уведомлении работодателя об обращениях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5A0A58">
              <w:rPr>
                <w:rFonts w:ascii="Times New Roman" w:hAnsi="Times New Roman" w:cs="Times New Roman"/>
              </w:rPr>
              <w:t xml:space="preserve"> в целях склонения к совершению коррупционных правонарушений)</w:t>
            </w:r>
            <w:proofErr w:type="gramEnd"/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Ежеквартально/при приеме на работу</w:t>
            </w:r>
          </w:p>
        </w:tc>
        <w:tc>
          <w:tcPr>
            <w:tcW w:w="2127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Разработка методических рекомендаций и иных информационных материалов для работников по вопросам профилактики коррупции в Учреждении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26.06.2023 г.</w:t>
            </w:r>
            <w:r w:rsidRPr="005A0A58">
              <w:rPr>
                <w:rFonts w:ascii="Times New Roman" w:hAnsi="Times New Roman" w:cs="Times New Roman"/>
              </w:rPr>
              <w:t>&lt;*&gt;</w:t>
            </w:r>
          </w:p>
        </w:tc>
        <w:tc>
          <w:tcPr>
            <w:tcW w:w="2127" w:type="dxa"/>
            <w:vMerge w:val="restart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Распространение среди работников Учреждения методических рекомендаций и иных информационных материалов по вопросам профилактики коррупции в Учреждении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по мере обновления информационных материалов/при приеме на работу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Участие лиц, ответственных за работу по профилактике коррупционных правонарушений в Учреждении, в обучающих мероприятиях по вопросам профилактики и противодействия коррупции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Информирование работников Учреждения о выявленных фактах коррупции среди сотрудников Учреждения и мерах, принятых в целях исключения проявлений коррупции в перспективе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по мере выявления фактов</w:t>
            </w:r>
          </w:p>
        </w:tc>
        <w:tc>
          <w:tcPr>
            <w:tcW w:w="2127" w:type="dxa"/>
            <w:vMerge w:val="restart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r w:rsidRPr="005A0A58">
              <w:rPr>
                <w:rFonts w:ascii="Times New Roman" w:hAnsi="Times New Roman" w:cs="Times New Roman"/>
              </w:rPr>
              <w:lastRenderedPageBreak/>
              <w:t>антикоррупционных стандартов и процедур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447" w:type="dxa"/>
            <w:gridSpan w:val="3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Мероприятия по взаимодействию с гражданами в целях предупреждения коррупции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Ведение и наполнение раздела </w:t>
            </w:r>
            <w:r>
              <w:rPr>
                <w:rFonts w:ascii="Times New Roman" w:hAnsi="Times New Roman" w:cs="Times New Roman"/>
              </w:rPr>
              <w:t>«</w:t>
            </w:r>
            <w:r w:rsidRPr="005A0A58">
              <w:rPr>
                <w:rFonts w:ascii="Times New Roman" w:hAnsi="Times New Roman" w:cs="Times New Roman"/>
              </w:rPr>
              <w:t>Противодействие коррупции</w:t>
            </w:r>
            <w:r>
              <w:rPr>
                <w:rFonts w:ascii="Times New Roman" w:hAnsi="Times New Roman" w:cs="Times New Roman"/>
              </w:rPr>
              <w:t>»</w:t>
            </w:r>
            <w:r w:rsidRPr="005A0A58">
              <w:rPr>
                <w:rFonts w:ascii="Times New Roman" w:hAnsi="Times New Roman" w:cs="Times New Roman"/>
              </w:rPr>
              <w:t xml:space="preserve"> на официальном сайте Учреждения в сети Интернет (размещение в данном разделе актуальной информации о реализации мер по противодействию коррупции в Учреждении, 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Pr="005A0A58">
              <w:rPr>
                <w:rFonts w:ascii="Times New Roman" w:hAnsi="Times New Roman" w:cs="Times New Roman"/>
              </w:rPr>
              <w:t>о принятых правовых актах по вопросам противодействия коррупции) &lt;5&gt;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  <w:r>
              <w:rPr>
                <w:rFonts w:ascii="Times New Roman" w:hAnsi="Times New Roman" w:cs="Times New Roman"/>
              </w:rPr>
              <w:t xml:space="preserve"> при наличии сайта Учреждения</w:t>
            </w:r>
          </w:p>
        </w:tc>
        <w:tc>
          <w:tcPr>
            <w:tcW w:w="2127" w:type="dxa"/>
            <w:vMerge w:val="restart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Размещение информации по вопросам противодействия коррупции в официальных сообществах Учреждения в социальных сетях </w:t>
            </w: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Pr="005A0A58">
              <w:rPr>
                <w:rFonts w:ascii="Times New Roman" w:hAnsi="Times New Roman" w:cs="Times New Roman"/>
              </w:rPr>
              <w:t xml:space="preserve">(в частности,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A0A58">
              <w:rPr>
                <w:rFonts w:ascii="Times New Roman" w:hAnsi="Times New Roman" w:cs="Times New Roman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</w:rPr>
              <w:t>», «</w:t>
            </w:r>
            <w:r w:rsidRPr="005A0A58">
              <w:rPr>
                <w:rFonts w:ascii="Times New Roman" w:hAnsi="Times New Roman" w:cs="Times New Roman"/>
              </w:rPr>
              <w:t>Одноклассники</w:t>
            </w:r>
            <w:r>
              <w:rPr>
                <w:rFonts w:ascii="Times New Roman" w:hAnsi="Times New Roman" w:cs="Times New Roman"/>
              </w:rPr>
              <w:t>»</w:t>
            </w:r>
            <w:r w:rsidRPr="005A0A58">
              <w:rPr>
                <w:rFonts w:ascii="Times New Roman" w:hAnsi="Times New Roman" w:cs="Times New Roman"/>
              </w:rPr>
              <w:t xml:space="preserve"> и других) &lt;6&gt;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наличие такого сообщества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Размещение и наполнение в помещении Учреждения информационного стенда по вопросам противодействия коррупции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  <w:vMerge w:val="restart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Информирование граждан о возможности обращений по фактам коррупции в Учреждении по телефону </w:t>
            </w:r>
            <w:r>
              <w:rPr>
                <w:rFonts w:ascii="Times New Roman" w:hAnsi="Times New Roman" w:cs="Times New Roman"/>
              </w:rPr>
              <w:t>«горячей линии»</w:t>
            </w:r>
            <w:r w:rsidRPr="005A0A58">
              <w:rPr>
                <w:rFonts w:ascii="Times New Roman" w:hAnsi="Times New Roman" w:cs="Times New Roman"/>
              </w:rPr>
              <w:t xml:space="preserve"> (размещение информации на официальном сайте Учреждения, в сообществах Учреждения в социальных сетях, на бегущей строке и иных устройствах (при наличии), на информационных стендах и т.д.)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Разработка памяток, листовок и иных информационных материалов для граждан по вопросам предупреждения коррупции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127" w:type="dxa"/>
            <w:vMerge w:val="restart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Распространение информационных материалов Учреждения среди граждан, в том числе их размещение на информационных стендах Учреждения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по мере обновления информации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Информирование граждан о перечне и содержании услуг, оказываемы</w:t>
            </w:r>
            <w:r>
              <w:rPr>
                <w:rFonts w:ascii="Times New Roman" w:hAnsi="Times New Roman" w:cs="Times New Roman"/>
              </w:rPr>
              <w:t>х на бесплатной основе</w:t>
            </w:r>
            <w:r w:rsidRPr="005A0A58">
              <w:rPr>
                <w:rFonts w:ascii="Times New Roman" w:hAnsi="Times New Roman" w:cs="Times New Roman"/>
              </w:rPr>
              <w:t xml:space="preserve"> (размещение информации на информационных стендах и на официальном сайте Учреждения в сети Интернет)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 по мере обновления информации</w:t>
            </w:r>
            <w:r>
              <w:rPr>
                <w:rFonts w:ascii="Times New Roman" w:hAnsi="Times New Roman" w:cs="Times New Roman"/>
              </w:rPr>
              <w:t xml:space="preserve"> при наличии сайта Учреждения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Мониторинг коррупционных проявлений, проводимый посредством анализа обращений и жалоб граждан и организаций, поступивших в адрес Учреждения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 мере поступления обращений граждан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447" w:type="dxa"/>
            <w:gridSpan w:val="3"/>
          </w:tcPr>
          <w:p w:rsidR="007149BC" w:rsidRPr="005A0A58" w:rsidRDefault="007149BC" w:rsidP="007149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Мероприятия по контролю финансово-хозяйственной деятельности в целях профилактики коррупции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Организация </w:t>
            </w:r>
            <w:proofErr w:type="gramStart"/>
            <w:r w:rsidRPr="005A0A5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0A58">
              <w:rPr>
                <w:rFonts w:ascii="Times New Roman" w:hAnsi="Times New Roman" w:cs="Times New Roman"/>
              </w:rPr>
              <w:t xml:space="preserve"> выполнением заключенных контрактов по закупке товаров, работ услуг для обеспечения нужд Учреждения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vMerge w:val="restart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учреждения</w:t>
            </w: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A0A5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0A58">
              <w:rPr>
                <w:rFonts w:ascii="Times New Roman" w:hAnsi="Times New Roman" w:cs="Times New Roman"/>
              </w:rPr>
              <w:t xml:space="preserve"> целевым </w:t>
            </w:r>
            <w:r w:rsidRPr="005A0A58">
              <w:rPr>
                <w:rFonts w:ascii="Times New Roman" w:hAnsi="Times New Roman" w:cs="Times New Roman"/>
              </w:rPr>
              <w:lastRenderedPageBreak/>
              <w:t>использованием бюджетных средств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lastRenderedPageBreak/>
              <w:t>4.3.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A0A5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0A58">
              <w:rPr>
                <w:rFonts w:ascii="Times New Roman" w:hAnsi="Times New Roman" w:cs="Times New Roman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149BC" w:rsidRPr="005A0A58" w:rsidTr="007149BC">
        <w:tc>
          <w:tcPr>
            <w:tcW w:w="680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194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5A0A5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5A0A58">
              <w:rPr>
                <w:rFonts w:ascii="Times New Roman" w:hAnsi="Times New Roman" w:cs="Times New Roman"/>
              </w:rPr>
              <w:t xml:space="preserve"> соблюдением требований к порядку сдачи в аренду имущества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5A0A58">
              <w:rPr>
                <w:rFonts w:ascii="Times New Roman" w:hAnsi="Times New Roman" w:cs="Times New Roman"/>
              </w:rPr>
              <w:t>(в том числе площадей), а также за соответствием цели использования сданного в аренду имущества</w:t>
            </w:r>
          </w:p>
        </w:tc>
        <w:tc>
          <w:tcPr>
            <w:tcW w:w="2126" w:type="dxa"/>
          </w:tcPr>
          <w:p w:rsidR="007149BC" w:rsidRPr="005A0A58" w:rsidRDefault="007149BC" w:rsidP="007149B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A0A58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27" w:type="dxa"/>
            <w:vMerge/>
          </w:tcPr>
          <w:p w:rsidR="007149BC" w:rsidRPr="005A0A58" w:rsidRDefault="007149BC" w:rsidP="007149B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245B3" w:rsidRPr="001E2C36" w:rsidRDefault="00B245B3" w:rsidP="00B245B3">
      <w:pPr>
        <w:pStyle w:val="ConsPlusNormal"/>
        <w:jc w:val="center"/>
        <w:rPr>
          <w:rFonts w:ascii="Times New Roman" w:hAnsi="Times New Roman" w:cs="Times New Roman"/>
        </w:rPr>
      </w:pPr>
    </w:p>
    <w:p w:rsidR="00B245B3" w:rsidRPr="001E2C36" w:rsidRDefault="00B245B3" w:rsidP="00B245B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--------------------------------</w:t>
      </w:r>
    </w:p>
    <w:p w:rsidR="00B245B3" w:rsidRPr="001E2C36" w:rsidRDefault="00B245B3" w:rsidP="00B245B3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&lt;*&gt; - рекомендуемые сроки.</w:t>
      </w:r>
    </w:p>
    <w:p w:rsidR="00B245B3" w:rsidRPr="001E2C36" w:rsidRDefault="00B245B3" w:rsidP="00B24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&lt;1&gt; - к локальным актам по воп</w:t>
      </w:r>
      <w:r>
        <w:rPr>
          <w:rFonts w:ascii="Times New Roman" w:hAnsi="Times New Roman" w:cs="Times New Roman"/>
        </w:rPr>
        <w:t>росам противодействия коррупции в соответствии с перечнем</w:t>
      </w:r>
      <w:r w:rsidRPr="001E2C36">
        <w:rPr>
          <w:rFonts w:ascii="Times New Roman" w:hAnsi="Times New Roman" w:cs="Times New Roman"/>
        </w:rPr>
        <w:t xml:space="preserve"> относятся: Положение об антикоррупционной </w:t>
      </w:r>
      <w:r w:rsidR="000D7D3A">
        <w:rPr>
          <w:rFonts w:ascii="Times New Roman" w:hAnsi="Times New Roman" w:cs="Times New Roman"/>
        </w:rPr>
        <w:tab/>
      </w:r>
      <w:r w:rsidRPr="001E2C36">
        <w:rPr>
          <w:rFonts w:ascii="Times New Roman" w:hAnsi="Times New Roman" w:cs="Times New Roman"/>
        </w:rPr>
        <w:t xml:space="preserve">политике, </w:t>
      </w:r>
      <w:r w:rsidR="000D7D3A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1E2C36">
        <w:rPr>
          <w:rFonts w:ascii="Times New Roman" w:hAnsi="Times New Roman" w:cs="Times New Roman"/>
        </w:rPr>
        <w:t xml:space="preserve">Кодекс этики и служебного </w:t>
      </w:r>
      <w:r w:rsidR="000D7D3A">
        <w:rPr>
          <w:rFonts w:ascii="Times New Roman" w:hAnsi="Times New Roman" w:cs="Times New Roman"/>
        </w:rPr>
        <w:tab/>
      </w:r>
      <w:r w:rsidRPr="001E2C36">
        <w:rPr>
          <w:rFonts w:ascii="Times New Roman" w:hAnsi="Times New Roman" w:cs="Times New Roman"/>
        </w:rPr>
        <w:t xml:space="preserve">поведения, </w:t>
      </w:r>
      <w:r>
        <w:rPr>
          <w:rFonts w:ascii="Times New Roman" w:hAnsi="Times New Roman" w:cs="Times New Roman"/>
        </w:rPr>
        <w:t xml:space="preserve">               </w:t>
      </w:r>
      <w:r w:rsidR="000D7D3A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1E2C36">
        <w:rPr>
          <w:rFonts w:ascii="Times New Roman" w:hAnsi="Times New Roman" w:cs="Times New Roman"/>
        </w:rPr>
        <w:t xml:space="preserve">Положение о порядке уведомления работодателя о конфликте </w:t>
      </w:r>
      <w:r w:rsidR="000D7D3A">
        <w:rPr>
          <w:rFonts w:ascii="Times New Roman" w:hAnsi="Times New Roman" w:cs="Times New Roman"/>
        </w:rPr>
        <w:tab/>
      </w:r>
      <w:r w:rsidRPr="001E2C36">
        <w:rPr>
          <w:rFonts w:ascii="Times New Roman" w:hAnsi="Times New Roman" w:cs="Times New Roman"/>
        </w:rPr>
        <w:t xml:space="preserve">интересов, </w:t>
      </w:r>
      <w:r w:rsidR="000D7D3A">
        <w:rPr>
          <w:rFonts w:ascii="Times New Roman" w:hAnsi="Times New Roman" w:cs="Times New Roman"/>
        </w:rPr>
        <w:t xml:space="preserve">                                                  </w:t>
      </w:r>
      <w:r w:rsidRPr="001E2C36">
        <w:rPr>
          <w:rFonts w:ascii="Times New Roman" w:hAnsi="Times New Roman" w:cs="Times New Roman"/>
        </w:rPr>
        <w:t>Положение о порядке уведомления работодателя о фактах обращения в целях склонения к совершению коррупционных правонарушений.</w:t>
      </w:r>
    </w:p>
    <w:p w:rsidR="00B245B3" w:rsidRPr="001E2C36" w:rsidRDefault="00B245B3" w:rsidP="00B24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&lt;2&gt; - в трудовых договорах и должностных инструкциях необходимо отразить обязанность работника соблюдать антикоррупционное законодательство, в частности: руководствоваться требованиями и неукоснительно соблюдать принципы антикоррупционной политики Учреждения; воздерживаться от совершения и (или) участия в совершении коррупционных правонарушений, в том числе в интересах или от имени Учреждения; сообщать работодателю о возникновении личной заинтересованности, которая приводит или может привести к конфликту интересов, о фактах обращения в целях склонения </w:t>
      </w:r>
      <w:r w:rsidR="000D7D3A">
        <w:rPr>
          <w:rFonts w:ascii="Times New Roman" w:hAnsi="Times New Roman" w:cs="Times New Roman"/>
        </w:rPr>
        <w:t xml:space="preserve">    </w:t>
      </w:r>
      <w:r w:rsidRPr="001E2C36">
        <w:rPr>
          <w:rFonts w:ascii="Times New Roman" w:hAnsi="Times New Roman" w:cs="Times New Roman"/>
        </w:rPr>
        <w:t>к совершению коррупционных правонарушений и т.д.</w:t>
      </w:r>
    </w:p>
    <w:p w:rsidR="00B245B3" w:rsidRPr="001E2C36" w:rsidRDefault="00B245B3" w:rsidP="00B24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&lt;3&gt; - Учреждение принимает на себя обязательство сообщать в правоохранительные органы </w:t>
      </w:r>
      <w:r>
        <w:rPr>
          <w:rFonts w:ascii="Times New Roman" w:hAnsi="Times New Roman" w:cs="Times New Roman"/>
        </w:rPr>
        <w:t xml:space="preserve">                          </w:t>
      </w:r>
      <w:r w:rsidRPr="001E2C36">
        <w:rPr>
          <w:rFonts w:ascii="Times New Roman" w:hAnsi="Times New Roman" w:cs="Times New Roman"/>
        </w:rPr>
        <w:t>обо всех случаях совершения коррупционных правонарушений, о которых Учреждению стало известно. Сотрудничество с правоохранительными органами осуществляется в форме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 w:rsidRPr="001E2C36">
        <w:rPr>
          <w:rFonts w:ascii="Times New Roman" w:hAnsi="Times New Roman" w:cs="Times New Roman"/>
        </w:rPr>
        <w:t>разыскные</w:t>
      </w:r>
      <w:proofErr w:type="spellEnd"/>
      <w:r w:rsidRPr="001E2C36">
        <w:rPr>
          <w:rFonts w:ascii="Times New Roman" w:hAnsi="Times New Roman" w:cs="Times New Roman"/>
        </w:rPr>
        <w:t xml:space="preserve"> мероприятия.</w:t>
      </w:r>
    </w:p>
    <w:p w:rsidR="00B245B3" w:rsidRPr="001E2C36" w:rsidRDefault="00B245B3" w:rsidP="00B24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 xml:space="preserve">&lt;4&gt; - ознакомление работников с локальными актами осуществляется под роспись. </w:t>
      </w:r>
      <w:r>
        <w:rPr>
          <w:rFonts w:ascii="Times New Roman" w:hAnsi="Times New Roman" w:cs="Times New Roman"/>
        </w:rPr>
        <w:t xml:space="preserve">                        </w:t>
      </w:r>
      <w:r w:rsidRPr="001E2C36">
        <w:rPr>
          <w:rFonts w:ascii="Times New Roman" w:hAnsi="Times New Roman" w:cs="Times New Roman"/>
        </w:rPr>
        <w:t>Ознакомление проводится путем внесения данных в журнал ознакомления работников с локальными правовыми актами или прикрепления к документу листа ознакомления.</w:t>
      </w:r>
    </w:p>
    <w:p w:rsidR="00B245B3" w:rsidRPr="001E2C36" w:rsidRDefault="00B245B3" w:rsidP="00B24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E2C36">
        <w:rPr>
          <w:rFonts w:ascii="Times New Roman" w:hAnsi="Times New Roman" w:cs="Times New Roman"/>
        </w:rPr>
        <w:t xml:space="preserve">&lt;5&gt; - наполнение раздела </w:t>
      </w:r>
      <w:r>
        <w:rPr>
          <w:rFonts w:ascii="Times New Roman" w:hAnsi="Times New Roman" w:cs="Times New Roman"/>
        </w:rPr>
        <w:t>«</w:t>
      </w:r>
      <w:r w:rsidRPr="001E2C36">
        <w:rPr>
          <w:rFonts w:ascii="Times New Roman" w:hAnsi="Times New Roman" w:cs="Times New Roman"/>
        </w:rPr>
        <w:t>Противодействие коррупции</w:t>
      </w:r>
      <w:r>
        <w:rPr>
          <w:rFonts w:ascii="Times New Roman" w:hAnsi="Times New Roman" w:cs="Times New Roman"/>
        </w:rPr>
        <w:t>»</w:t>
      </w:r>
      <w:r w:rsidRPr="001E2C36">
        <w:rPr>
          <w:rFonts w:ascii="Times New Roman" w:hAnsi="Times New Roman" w:cs="Times New Roman"/>
        </w:rPr>
        <w:t xml:space="preserve"> осуществляется на основании </w:t>
      </w:r>
      <w:hyperlink r:id="rId5">
        <w:r w:rsidRPr="001E2C36">
          <w:rPr>
            <w:rFonts w:ascii="Times New Roman" w:hAnsi="Times New Roman" w:cs="Times New Roman"/>
            <w:color w:val="0000FF"/>
          </w:rPr>
          <w:t>приказа</w:t>
        </w:r>
      </w:hyperlink>
      <w:r w:rsidRPr="001E2C36">
        <w:rPr>
          <w:rFonts w:ascii="Times New Roman" w:hAnsi="Times New Roman" w:cs="Times New Roman"/>
        </w:rPr>
        <w:t xml:space="preserve"> Минтруда России от 07.10.2013 </w:t>
      </w:r>
      <w:r>
        <w:rPr>
          <w:rFonts w:ascii="Times New Roman" w:hAnsi="Times New Roman" w:cs="Times New Roman"/>
        </w:rPr>
        <w:t>№</w:t>
      </w:r>
      <w:r w:rsidRPr="001E2C36">
        <w:rPr>
          <w:rFonts w:ascii="Times New Roman" w:hAnsi="Times New Roman" w:cs="Times New Roman"/>
        </w:rPr>
        <w:t xml:space="preserve"> 530н </w:t>
      </w:r>
      <w:r>
        <w:rPr>
          <w:rFonts w:ascii="Times New Roman" w:hAnsi="Times New Roman" w:cs="Times New Roman"/>
        </w:rPr>
        <w:t>«</w:t>
      </w:r>
      <w:r w:rsidRPr="001E2C36">
        <w:rPr>
          <w:rFonts w:ascii="Times New Roman" w:hAnsi="Times New Roman" w:cs="Times New Roman"/>
        </w:rPr>
        <w:t xml:space="preserve">О требованиях к размещению и наполнению подразделов, посвященных вопросам противодействия коррупции, официальных сайтов федеральных государственных органов, Центрального банка Российской Федерации, Пенсионного фонда Российской Федерации, </w:t>
      </w:r>
      <w:r>
        <w:rPr>
          <w:rFonts w:ascii="Times New Roman" w:hAnsi="Times New Roman" w:cs="Times New Roman"/>
        </w:rPr>
        <w:t xml:space="preserve">                  </w:t>
      </w:r>
      <w:r w:rsidRPr="001E2C36">
        <w:rPr>
          <w:rFonts w:ascii="Times New Roman" w:hAnsi="Times New Roman" w:cs="Times New Roman"/>
        </w:rPr>
        <w:t>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иных организаций, созданных на основании федеральных законов, и требованиях</w:t>
      </w:r>
      <w:proofErr w:type="gramEnd"/>
      <w:r w:rsidRPr="001E2C36">
        <w:rPr>
          <w:rFonts w:ascii="Times New Roman" w:hAnsi="Times New Roman" w:cs="Times New Roman"/>
        </w:rPr>
        <w:t xml:space="preserve"> к должностям, замещение которых влечет за собой размещение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</w:rPr>
        <w:t>»</w:t>
      </w:r>
      <w:r w:rsidRPr="001E2C36">
        <w:rPr>
          <w:rFonts w:ascii="Times New Roman" w:hAnsi="Times New Roman" w:cs="Times New Roman"/>
        </w:rPr>
        <w:t>.</w:t>
      </w:r>
    </w:p>
    <w:p w:rsidR="00B245B3" w:rsidRPr="001E2C36" w:rsidRDefault="00B245B3" w:rsidP="00B245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E2C36">
        <w:rPr>
          <w:rFonts w:ascii="Times New Roman" w:hAnsi="Times New Roman" w:cs="Times New Roman"/>
        </w:rPr>
        <w:t>&lt;6&gt; - размещение информации в новостных лентах сообществ Учреждения в социальных сетях, в том числе публикация памяток, опросов, новостей, информации о способах подачи обращений и обратной связи, публикаций о проведении творческих конкурсов по вопросам противодействия коррупции.</w:t>
      </w:r>
    </w:p>
    <w:p w:rsidR="00B245B3" w:rsidRPr="001E2C36" w:rsidRDefault="00B245B3" w:rsidP="00B245B3">
      <w:pPr>
        <w:pStyle w:val="ConsPlusNormal"/>
        <w:rPr>
          <w:rFonts w:ascii="Times New Roman" w:hAnsi="Times New Roman" w:cs="Times New Roman"/>
        </w:rPr>
      </w:pPr>
    </w:p>
    <w:p w:rsidR="00B245B3" w:rsidRDefault="00B245B3" w:rsidP="00B245B3">
      <w:pPr>
        <w:pStyle w:val="ConsPlusNormal"/>
        <w:rPr>
          <w:rFonts w:ascii="Times New Roman" w:hAnsi="Times New Roman" w:cs="Times New Roman"/>
        </w:rPr>
      </w:pPr>
    </w:p>
    <w:p w:rsidR="00B245B3" w:rsidRDefault="00B245B3" w:rsidP="00B245B3">
      <w:pPr>
        <w:pStyle w:val="ConsPlusNormal"/>
        <w:rPr>
          <w:rFonts w:ascii="Times New Roman" w:hAnsi="Times New Roman" w:cs="Times New Roman"/>
        </w:rPr>
      </w:pPr>
    </w:p>
    <w:p w:rsidR="00B245B3" w:rsidRDefault="00B245B3" w:rsidP="00B245B3">
      <w:pPr>
        <w:pStyle w:val="ConsPlusNormal"/>
        <w:rPr>
          <w:rFonts w:ascii="Times New Roman" w:hAnsi="Times New Roman" w:cs="Times New Roman"/>
        </w:rPr>
      </w:pPr>
    </w:p>
    <w:p w:rsidR="00B245B3" w:rsidRDefault="00B245B3" w:rsidP="00B245B3">
      <w:pPr>
        <w:pStyle w:val="ConsPlusNormal"/>
        <w:rPr>
          <w:rFonts w:ascii="Times New Roman" w:hAnsi="Times New Roman" w:cs="Times New Roman"/>
        </w:rPr>
      </w:pPr>
    </w:p>
    <w:p w:rsidR="00B245B3" w:rsidRDefault="00B245B3" w:rsidP="00B245B3">
      <w:pPr>
        <w:pStyle w:val="ConsPlusNormal"/>
        <w:rPr>
          <w:rFonts w:ascii="Times New Roman" w:hAnsi="Times New Roman" w:cs="Times New Roman"/>
        </w:rPr>
      </w:pPr>
    </w:p>
    <w:p w:rsidR="00CC5524" w:rsidRDefault="00CC5524"/>
    <w:sectPr w:rsidR="00CC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B3"/>
    <w:rsid w:val="00022928"/>
    <w:rsid w:val="000D7D3A"/>
    <w:rsid w:val="007149BC"/>
    <w:rsid w:val="009D3750"/>
    <w:rsid w:val="00A250AC"/>
    <w:rsid w:val="00B245B3"/>
    <w:rsid w:val="00CC5524"/>
    <w:rsid w:val="00DC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0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8C74F860FBCE5F11C13F1196BF8987A70DC25E6F7CC4AD790AB6BC93490F2AF132F6A86A82D0F99A15B9A35BkAa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2023-06-16T08:50:00Z</cp:lastPrinted>
  <dcterms:created xsi:type="dcterms:W3CDTF">2023-06-16T08:22:00Z</dcterms:created>
  <dcterms:modified xsi:type="dcterms:W3CDTF">2023-06-21T05:21:00Z</dcterms:modified>
</cp:coreProperties>
</file>